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5A1E8" w14:textId="77777777" w:rsidR="0086469E" w:rsidRPr="0086469E" w:rsidRDefault="0086469E" w:rsidP="006705EF">
      <w:pPr>
        <w:rPr>
          <w:rFonts w:asciiTheme="minorHAnsi" w:hAnsiTheme="minorHAnsi"/>
          <w:sz w:val="22"/>
          <w:szCs w:val="16"/>
          <w:lang w:val="cs-CZ"/>
        </w:rPr>
      </w:pPr>
    </w:p>
    <w:p w14:paraId="3C56CE5A" w14:textId="77777777" w:rsidR="008664BC" w:rsidRDefault="008664BC" w:rsidP="0086469E">
      <w:pPr>
        <w:pStyle w:val="Bezmezer"/>
        <w:rPr>
          <w:rFonts w:asciiTheme="minorHAnsi" w:hAnsiTheme="minorHAnsi"/>
          <w:sz w:val="24"/>
          <w:szCs w:val="18"/>
        </w:rPr>
      </w:pPr>
    </w:p>
    <w:p w14:paraId="78217F8C" w14:textId="77777777" w:rsidR="0086469E" w:rsidRDefault="0086469E" w:rsidP="00F5040B">
      <w:pPr>
        <w:pStyle w:val="Bezmezer"/>
        <w:rPr>
          <w:rFonts w:asciiTheme="minorHAnsi" w:hAnsiTheme="minorHAnsi"/>
          <w:sz w:val="24"/>
          <w:szCs w:val="18"/>
        </w:rPr>
      </w:pPr>
    </w:p>
    <w:p w14:paraId="2B3C5E08" w14:textId="77777777" w:rsidR="00C6196A" w:rsidRPr="00C6196A" w:rsidRDefault="005079A8" w:rsidP="00C6196A">
      <w:pPr>
        <w:jc w:val="center"/>
        <w:rPr>
          <w:rFonts w:ascii="Tahoma" w:hAnsi="Tahoma" w:cs="Tahoma"/>
          <w:b/>
          <w:color w:val="auto"/>
          <w:kern w:val="2"/>
          <w:sz w:val="28"/>
          <w:szCs w:val="28"/>
          <w:lang w:val="cs-CZ"/>
        </w:rPr>
      </w:pPr>
      <w:r>
        <w:rPr>
          <w:rFonts w:asciiTheme="minorHAnsi" w:hAnsiTheme="minorHAnsi"/>
          <w:sz w:val="24"/>
          <w:szCs w:val="18"/>
        </w:rPr>
        <w:tab/>
      </w:r>
      <w:r w:rsidR="00C6196A" w:rsidRPr="00C6196A">
        <w:rPr>
          <w:rFonts w:ascii="Tahoma" w:hAnsi="Tahoma" w:cs="Tahoma"/>
          <w:b/>
          <w:color w:val="auto"/>
          <w:kern w:val="2"/>
          <w:sz w:val="28"/>
          <w:szCs w:val="28"/>
          <w:lang w:val="cs-CZ"/>
        </w:rPr>
        <w:t>Maturitní okruhy – ZEMĚPIS CESTOVNÍHO RUCHU</w:t>
      </w:r>
    </w:p>
    <w:p w14:paraId="45F03345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1. Hlavní město Praha a její turisticky nejatraktivnější lokality</w:t>
      </w:r>
    </w:p>
    <w:p w14:paraId="2AEBBA28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2. Hlavní oblasti a nejvýznamnější lokality CR v Čechách</w:t>
      </w:r>
    </w:p>
    <w:p w14:paraId="30514D13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3. Hlavní oblasti a nejvýznamnější lokality CR na Moravě</w:t>
      </w:r>
    </w:p>
    <w:p w14:paraId="3A06A2C0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4. Lázeňský cestovní ruch v ČR</w:t>
      </w:r>
    </w:p>
    <w:p w14:paraId="2B9E7937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5. Turisticky nejoblíbenější horské oblasti v ČR</w:t>
      </w:r>
    </w:p>
    <w:p w14:paraId="799D082C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6. Životní prostředí, ochrana přírody a ochrana kulturních památek v ČR</w:t>
      </w:r>
    </w:p>
    <w:p w14:paraId="184F6DFB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7. Státy západní Evropy z hlediska cestovního ruchu a jejich turistické dominanty</w:t>
      </w:r>
    </w:p>
    <w:p w14:paraId="3A3B0289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8. Státy severní Evropy z hlediska cestovního ruchu a jejich turistické dominanty</w:t>
      </w:r>
    </w:p>
    <w:p w14:paraId="04DD1F22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9. Státy jižní Evropy z hlediska cestovního ruchu a jejich turistické dominanty</w:t>
      </w:r>
    </w:p>
    <w:p w14:paraId="32001B44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10. Státy východní Evropy včetně Ruska a států Balkánského poloostrova z hlediska cestovního ruchu, jejich turistické dominanty a zajímavosti</w:t>
      </w:r>
    </w:p>
    <w:p w14:paraId="4922D738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11. Státy střední Evropy – alpské země z hlediska cestovního ruchu a jejich turistické dominanty</w:t>
      </w:r>
    </w:p>
    <w:p w14:paraId="58A75F2D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12. Státy střední Evropy – země Visegradské čtyřky mimo ČR z hlediska cestovního ruchu a jejich turistické dominanty</w:t>
      </w:r>
    </w:p>
    <w:p w14:paraId="27FB2767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13. Severní Amerika z hlediska cestovního ruchu a její turistické dominanty</w:t>
      </w:r>
    </w:p>
    <w:p w14:paraId="69235D07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14. Střední a Jižní Amerika z hlediska cestovního ruchu a jejich turistické dominanty</w:t>
      </w:r>
    </w:p>
    <w:p w14:paraId="0CB4C1BE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15. Jihozápadní Asie z hlediska cestovního ruchu a její turistické dominanty</w:t>
      </w:r>
    </w:p>
    <w:p w14:paraId="0D795498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16. Jižní a jihovýchodní Asie z hlediska cestovního ruchu a její turistické dominanty</w:t>
      </w:r>
    </w:p>
    <w:p w14:paraId="02AEF209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17. Východní a centrální Asie z hlediska cestovního ruchu a její turistické dominanty</w:t>
      </w:r>
    </w:p>
    <w:p w14:paraId="0C87FA32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18. Afrika z hlediska cestovního ruchu a její turistické dominanty</w:t>
      </w:r>
    </w:p>
    <w:p w14:paraId="5796091C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19. Austrálie a Oceánie z hlediska cestovního ruchu a její turistické dominanty</w:t>
      </w:r>
    </w:p>
    <w:p w14:paraId="31E869CE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r w:rsidRPr="00C6196A">
        <w:rPr>
          <w:rFonts w:ascii="Tahoma" w:hAnsi="Tahoma" w:cs="Tahoma"/>
          <w:color w:val="auto"/>
          <w:kern w:val="2"/>
          <w:sz w:val="24"/>
          <w:szCs w:val="24"/>
          <w:lang w:val="cs-CZ"/>
        </w:rPr>
        <w:t>20. Religiózní geografie zaměřená na světová náboženství a jejich významná poutní místa</w:t>
      </w:r>
    </w:p>
    <w:p w14:paraId="3C2FCAF2" w14:textId="77777777" w:rsidR="00C6196A" w:rsidRPr="00C6196A" w:rsidRDefault="00C6196A" w:rsidP="00C6196A">
      <w:pPr>
        <w:jc w:val="both"/>
        <w:rPr>
          <w:rFonts w:ascii="Tahoma" w:hAnsi="Tahoma" w:cs="Tahoma"/>
          <w:color w:val="auto"/>
          <w:kern w:val="2"/>
          <w:sz w:val="24"/>
          <w:szCs w:val="24"/>
          <w:lang w:val="cs-CZ"/>
        </w:rPr>
      </w:pPr>
      <w:bookmarkStart w:id="0" w:name="_GoBack"/>
      <w:bookmarkEnd w:id="0"/>
    </w:p>
    <w:p w14:paraId="108967DB" w14:textId="77777777" w:rsidR="00C6196A" w:rsidRPr="00C6196A" w:rsidRDefault="00C6196A" w:rsidP="00C6196A">
      <w:pPr>
        <w:rPr>
          <w:rFonts w:asciiTheme="minorHAnsi" w:hAnsiTheme="minorHAnsi"/>
          <w:color w:val="auto"/>
          <w:kern w:val="2"/>
          <w:sz w:val="22"/>
          <w:lang w:val="cs-CZ"/>
        </w:rPr>
      </w:pPr>
    </w:p>
    <w:p w14:paraId="22085370" w14:textId="11D2BA19" w:rsidR="00FC57EA" w:rsidRDefault="005079A8" w:rsidP="00F5040B">
      <w:pPr>
        <w:pStyle w:val="Bezmezer"/>
        <w:rPr>
          <w:rFonts w:asciiTheme="minorHAnsi" w:hAnsiTheme="minorHAnsi"/>
          <w:sz w:val="24"/>
          <w:szCs w:val="18"/>
        </w:rPr>
      </w:pP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  <w:r>
        <w:rPr>
          <w:rFonts w:asciiTheme="minorHAnsi" w:hAnsiTheme="minorHAnsi"/>
          <w:sz w:val="24"/>
          <w:szCs w:val="18"/>
        </w:rPr>
        <w:tab/>
      </w:r>
    </w:p>
    <w:p w14:paraId="705D92ED" w14:textId="0C5AC8B7" w:rsidR="00EA570A" w:rsidRPr="0086469E" w:rsidRDefault="00EA570A" w:rsidP="00F5040B">
      <w:pPr>
        <w:pStyle w:val="Bezmezer"/>
        <w:rPr>
          <w:rFonts w:asciiTheme="minorHAnsi" w:hAnsiTheme="minorHAnsi"/>
          <w:sz w:val="24"/>
          <w:szCs w:val="18"/>
        </w:rPr>
      </w:pPr>
    </w:p>
    <w:sectPr w:rsidR="00EA570A" w:rsidRPr="0086469E" w:rsidSect="004B39FA">
      <w:headerReference w:type="even" r:id="rId11"/>
      <w:headerReference w:type="default" r:id="rId12"/>
      <w:headerReference w:type="first" r:id="rId13"/>
      <w:pgSz w:w="11906" w:h="16838"/>
      <w:pgMar w:top="1417" w:right="1417" w:bottom="1417" w:left="1417" w:header="907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C64F6B" w14:textId="77777777" w:rsidR="008540B4" w:rsidRDefault="008540B4" w:rsidP="00954C8B">
      <w:pPr>
        <w:spacing w:after="0" w:line="240" w:lineRule="auto"/>
      </w:pPr>
      <w:r>
        <w:separator/>
      </w:r>
    </w:p>
  </w:endnote>
  <w:endnote w:type="continuationSeparator" w:id="0">
    <w:p w14:paraId="03A2E5F8" w14:textId="77777777" w:rsidR="008540B4" w:rsidRDefault="008540B4" w:rsidP="0095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919E0" w14:textId="77777777" w:rsidR="008540B4" w:rsidRDefault="008540B4" w:rsidP="00954C8B">
      <w:pPr>
        <w:spacing w:after="0" w:line="240" w:lineRule="auto"/>
      </w:pPr>
      <w:r>
        <w:separator/>
      </w:r>
    </w:p>
  </w:footnote>
  <w:footnote w:type="continuationSeparator" w:id="0">
    <w:p w14:paraId="3BD5E8CC" w14:textId="77777777" w:rsidR="008540B4" w:rsidRDefault="008540B4" w:rsidP="00954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C1915C" w14:textId="15A2955B" w:rsidR="00954C8B" w:rsidRDefault="00C6196A">
    <w:pPr>
      <w:pStyle w:val="Zhlav"/>
    </w:pPr>
    <w:r>
      <w:rPr>
        <w:noProof/>
      </w:rPr>
      <w:pict w14:anchorId="19488A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0" o:spid="_x0000_s1026" type="#_x0000_t75" style="position:absolute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B35AE2" w14:textId="0A954349" w:rsidR="00954C8B" w:rsidRDefault="004B39FA">
    <w:pPr>
      <w:pStyle w:val="Zhlav"/>
    </w:pPr>
    <w:r>
      <w:ptab w:relativeTo="margin" w:alignment="center" w:leader="none"/>
    </w:r>
    <w:r w:rsidR="00C6196A">
      <w:rPr>
        <w:noProof/>
      </w:rPr>
      <w:pict w14:anchorId="1D6EAE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11" o:spid="_x0000_s1027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0AD8BE" w14:textId="3B953EE0" w:rsidR="00954C8B" w:rsidRDefault="00C6196A">
    <w:pPr>
      <w:pStyle w:val="Zhlav"/>
    </w:pPr>
    <w:r>
      <w:rPr>
        <w:noProof/>
      </w:rPr>
      <w:pict w14:anchorId="6799E2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7944609" o:spid="_x0000_s1025" type="#_x0000_t75" style="position:absolute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3827CB"/>
    <w:multiLevelType w:val="hybridMultilevel"/>
    <w:tmpl w:val="805CE014"/>
    <w:lvl w:ilvl="0" w:tplc="F7BECB4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C8B"/>
    <w:rsid w:val="00086F87"/>
    <w:rsid w:val="000D0573"/>
    <w:rsid w:val="001A2E3B"/>
    <w:rsid w:val="001D2583"/>
    <w:rsid w:val="0022530A"/>
    <w:rsid w:val="00251B6B"/>
    <w:rsid w:val="003820D6"/>
    <w:rsid w:val="00462ACE"/>
    <w:rsid w:val="004760EA"/>
    <w:rsid w:val="004B39FA"/>
    <w:rsid w:val="004E7F79"/>
    <w:rsid w:val="005079A8"/>
    <w:rsid w:val="0051660A"/>
    <w:rsid w:val="00586E10"/>
    <w:rsid w:val="005A7BA7"/>
    <w:rsid w:val="00623921"/>
    <w:rsid w:val="00653400"/>
    <w:rsid w:val="006705EF"/>
    <w:rsid w:val="006B740E"/>
    <w:rsid w:val="0077428E"/>
    <w:rsid w:val="00837CF6"/>
    <w:rsid w:val="008540B4"/>
    <w:rsid w:val="00861684"/>
    <w:rsid w:val="0086469E"/>
    <w:rsid w:val="008664BC"/>
    <w:rsid w:val="00883C04"/>
    <w:rsid w:val="008F2674"/>
    <w:rsid w:val="00905E23"/>
    <w:rsid w:val="00941994"/>
    <w:rsid w:val="00954C8B"/>
    <w:rsid w:val="00AF3985"/>
    <w:rsid w:val="00AF70FA"/>
    <w:rsid w:val="00B30E29"/>
    <w:rsid w:val="00B52873"/>
    <w:rsid w:val="00B6606A"/>
    <w:rsid w:val="00BD721C"/>
    <w:rsid w:val="00C6196A"/>
    <w:rsid w:val="00C90B85"/>
    <w:rsid w:val="00CA1C11"/>
    <w:rsid w:val="00D37912"/>
    <w:rsid w:val="00D91DD2"/>
    <w:rsid w:val="00DD58A5"/>
    <w:rsid w:val="00DE67F8"/>
    <w:rsid w:val="00DF5FCA"/>
    <w:rsid w:val="00EA570A"/>
    <w:rsid w:val="00F025FB"/>
    <w:rsid w:val="00F36BF0"/>
    <w:rsid w:val="00F47DDA"/>
    <w:rsid w:val="00F5040B"/>
    <w:rsid w:val="00F90530"/>
    <w:rsid w:val="00FC57EA"/>
    <w:rsid w:val="00FE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0BE1F"/>
  <w15:chartTrackingRefBased/>
  <w15:docId w15:val="{F0A85656-1CAB-4E14-9745-05F3F8A9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6E10"/>
    <w:rPr>
      <w:rFonts w:ascii="Times New Roman" w:hAnsi="Times New Roman"/>
      <w:color w:val="EE0000"/>
      <w:sz w:val="32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4E7F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A1C11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0" w:after="600" w:line="360" w:lineRule="auto"/>
      <w:jc w:val="center"/>
      <w:outlineLvl w:val="1"/>
    </w:pPr>
    <w:rPr>
      <w:rFonts w:asciiTheme="minorHAnsi" w:eastAsiaTheme="majorEastAsia" w:hAnsiTheme="minorHAnsi" w:cstheme="majorBidi"/>
      <w:color w:val="000000" w:themeColor="tex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86E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A1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4C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4C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4C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4C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4C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7F79"/>
    <w:rPr>
      <w:rFonts w:asciiTheme="majorHAnsi" w:eastAsiaTheme="majorEastAsia" w:hAnsiTheme="majorHAnsi" w:cstheme="majorBidi"/>
      <w:color w:val="EE000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A1C11"/>
    <w:rPr>
      <w:rFonts w:eastAsiaTheme="majorEastAsia" w:cstheme="majorBidi"/>
      <w:color w:val="000000" w:themeColor="text1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86E1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1D2583"/>
    <w:pPr>
      <w:outlineLvl w:val="9"/>
    </w:pPr>
    <w:rPr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1D2583"/>
    <w:pPr>
      <w:spacing w:before="120" w:after="0"/>
    </w:pPr>
    <w:rPr>
      <w:rFonts w:asciiTheme="minorHAnsi" w:hAnsiTheme="minorHAnsi"/>
      <w:b/>
      <w:bCs/>
      <w:i/>
      <w:iCs/>
      <w:sz w:val="24"/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1D2583"/>
    <w:pPr>
      <w:spacing w:before="120" w:after="0"/>
      <w:ind w:left="320"/>
    </w:pPr>
    <w:rPr>
      <w:rFonts w:asciiTheme="minorHAnsi" w:hAnsiTheme="minorHAnsi"/>
      <w:b/>
      <w:bCs/>
      <w:sz w:val="22"/>
    </w:rPr>
  </w:style>
  <w:style w:type="paragraph" w:styleId="Obsah3">
    <w:name w:val="toc 3"/>
    <w:basedOn w:val="Normln"/>
    <w:next w:val="Normln"/>
    <w:autoRedefine/>
    <w:uiPriority w:val="39"/>
    <w:unhideWhenUsed/>
    <w:rsid w:val="001D2583"/>
    <w:pPr>
      <w:spacing w:after="0"/>
      <w:ind w:left="640"/>
    </w:pPr>
    <w:rPr>
      <w:rFonts w:asciiTheme="minorHAnsi" w:hAnsiTheme="minorHAnsi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D2583"/>
    <w:rPr>
      <w:color w:val="467886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rsid w:val="00CA1C11"/>
    <w:rPr>
      <w:rFonts w:asciiTheme="majorHAnsi" w:eastAsiaTheme="majorEastAsia" w:hAnsiTheme="majorHAnsi" w:cstheme="majorBidi"/>
      <w:i/>
      <w:iCs/>
      <w:color w:val="0F4761" w:themeColor="accent1" w:themeShade="BF"/>
      <w:sz w:val="32"/>
    </w:rPr>
  </w:style>
  <w:style w:type="paragraph" w:styleId="Obsah4">
    <w:name w:val="toc 4"/>
    <w:basedOn w:val="Normln"/>
    <w:next w:val="Normln"/>
    <w:autoRedefine/>
    <w:uiPriority w:val="39"/>
    <w:unhideWhenUsed/>
    <w:rsid w:val="00CA1C11"/>
    <w:pPr>
      <w:spacing w:after="0"/>
      <w:ind w:left="960"/>
    </w:pPr>
    <w:rPr>
      <w:rFonts w:asciiTheme="minorHAnsi" w:hAnsi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CA1C11"/>
    <w:pPr>
      <w:spacing w:after="0"/>
      <w:ind w:left="1280"/>
    </w:pPr>
    <w:rPr>
      <w:rFonts w:asciiTheme="minorHAnsi" w:hAnsi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CA1C11"/>
    <w:pPr>
      <w:spacing w:after="0"/>
      <w:ind w:left="1600"/>
    </w:pPr>
    <w:rPr>
      <w:rFonts w:asciiTheme="minorHAnsi" w:hAnsi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CA1C11"/>
    <w:pPr>
      <w:spacing w:after="0"/>
      <w:ind w:left="1920"/>
    </w:pPr>
    <w:rPr>
      <w:rFonts w:asciiTheme="minorHAnsi" w:hAnsi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CA1C11"/>
    <w:pPr>
      <w:spacing w:after="0"/>
      <w:ind w:left="2240"/>
    </w:pPr>
    <w:rPr>
      <w:rFonts w:asciiTheme="minorHAnsi" w:hAnsi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CA1C11"/>
    <w:pPr>
      <w:spacing w:after="0"/>
      <w:ind w:left="2560"/>
    </w:pPr>
    <w:rPr>
      <w:rFonts w:asciiTheme="minorHAnsi" w:hAnsiTheme="minorHAnsi"/>
      <w:sz w:val="20"/>
      <w:szCs w:val="20"/>
    </w:rPr>
  </w:style>
  <w:style w:type="paragraph" w:customStyle="1" w:styleId="Tochjan">
    <w:name w:val="Tochjan"/>
    <w:basedOn w:val="Nadpis1"/>
    <w:qFormat/>
    <w:rsid w:val="000D0573"/>
    <w:rPr>
      <w:rFonts w:ascii="Century Gothic" w:hAnsi="Century Gothic"/>
      <w:b/>
      <w:i/>
      <w:color w:val="0070C0"/>
      <w:sz w:val="28"/>
      <w:u w:val="singl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4C8B"/>
    <w:rPr>
      <w:rFonts w:eastAsiaTheme="majorEastAsia" w:cstheme="majorBidi"/>
      <w:color w:val="0F4761" w:themeColor="accent1" w:themeShade="BF"/>
      <w:sz w:val="3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4C8B"/>
    <w:rPr>
      <w:rFonts w:eastAsiaTheme="majorEastAsia" w:cstheme="majorBidi"/>
      <w:i/>
      <w:iCs/>
      <w:color w:val="595959" w:themeColor="text1" w:themeTint="A6"/>
      <w:sz w:val="3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4C8B"/>
    <w:rPr>
      <w:rFonts w:eastAsiaTheme="majorEastAsia" w:cstheme="majorBidi"/>
      <w:color w:val="595959" w:themeColor="text1" w:themeTint="A6"/>
      <w:sz w:val="3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4C8B"/>
    <w:rPr>
      <w:rFonts w:eastAsiaTheme="majorEastAsia" w:cstheme="majorBidi"/>
      <w:i/>
      <w:iCs/>
      <w:color w:val="272727" w:themeColor="text1" w:themeTint="D8"/>
      <w:sz w:val="3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4C8B"/>
    <w:rPr>
      <w:rFonts w:eastAsiaTheme="majorEastAsia" w:cstheme="majorBidi"/>
      <w:color w:val="272727" w:themeColor="text1" w:themeTint="D8"/>
      <w:sz w:val="32"/>
    </w:rPr>
  </w:style>
  <w:style w:type="paragraph" w:styleId="Nzev">
    <w:name w:val="Title"/>
    <w:basedOn w:val="Normln"/>
    <w:next w:val="Normln"/>
    <w:link w:val="NzevChar"/>
    <w:uiPriority w:val="10"/>
    <w:qFormat/>
    <w:rsid w:val="00954C8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954C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95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4C8B"/>
    <w:rPr>
      <w:rFonts w:ascii="Times New Roman" w:hAnsi="Times New Roman"/>
      <w:i/>
      <w:iCs/>
      <w:color w:val="404040" w:themeColor="text1" w:themeTint="BF"/>
      <w:sz w:val="32"/>
    </w:rPr>
  </w:style>
  <w:style w:type="paragraph" w:styleId="Odstavecseseznamem">
    <w:name w:val="List Paragraph"/>
    <w:basedOn w:val="Normln"/>
    <w:uiPriority w:val="34"/>
    <w:qFormat/>
    <w:rsid w:val="0095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4C8B"/>
    <w:rPr>
      <w:rFonts w:ascii="Times New Roman" w:hAnsi="Times New Roman"/>
      <w:i/>
      <w:iCs/>
      <w:color w:val="0F4761" w:themeColor="accent1" w:themeShade="BF"/>
      <w:sz w:val="32"/>
    </w:rPr>
  </w:style>
  <w:style w:type="character" w:styleId="Odkazintenzivn">
    <w:name w:val="Intense Reference"/>
    <w:basedOn w:val="Standardnpsmoodstavce"/>
    <w:uiPriority w:val="32"/>
    <w:qFormat/>
    <w:rsid w:val="00954C8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4C8B"/>
    <w:rPr>
      <w:rFonts w:ascii="Times New Roman" w:hAnsi="Times New Roman"/>
      <w:color w:val="EE0000"/>
      <w:sz w:val="32"/>
    </w:rPr>
  </w:style>
  <w:style w:type="paragraph" w:styleId="Zpat">
    <w:name w:val="footer"/>
    <w:basedOn w:val="Normln"/>
    <w:link w:val="ZpatChar"/>
    <w:uiPriority w:val="99"/>
    <w:unhideWhenUsed/>
    <w:rsid w:val="00954C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4C8B"/>
    <w:rPr>
      <w:rFonts w:ascii="Times New Roman" w:hAnsi="Times New Roman"/>
      <w:color w:val="EE0000"/>
      <w:sz w:val="32"/>
    </w:rPr>
  </w:style>
  <w:style w:type="paragraph" w:styleId="Bezmezer">
    <w:name w:val="No Spacing"/>
    <w:uiPriority w:val="1"/>
    <w:qFormat/>
    <w:rsid w:val="0086469E"/>
    <w:pPr>
      <w:spacing w:after="0" w:line="240" w:lineRule="auto"/>
    </w:pPr>
    <w:rPr>
      <w:rFonts w:ascii="Times New Roman" w:hAnsi="Times New Roman"/>
      <w:color w:val="000000" w:themeColor="text1"/>
      <w:sz w:val="32"/>
      <w:lang w:val="cs-CZ"/>
    </w:rPr>
  </w:style>
  <w:style w:type="table" w:styleId="Mkatabulky">
    <w:name w:val="Table Grid"/>
    <w:basedOn w:val="Normlntabulka"/>
    <w:uiPriority w:val="39"/>
    <w:rsid w:val="00864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e3344c-db73-4839-a09d-de0eaf354d00" xsi:nil="true"/>
    <lcf76f155ced4ddcb4097134ff3c332f xmlns="9035f942-ef8f-4aa7-a461-36286bdd0ae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183BABD77E0F45BE89AB9F6E24E916" ma:contentTypeVersion="13" ma:contentTypeDescription="Vytvoří nový dokument" ma:contentTypeScope="" ma:versionID="05660e9cdd27a00ae0047caa23b52175">
  <xsd:schema xmlns:xsd="http://www.w3.org/2001/XMLSchema" xmlns:xs="http://www.w3.org/2001/XMLSchema" xmlns:p="http://schemas.microsoft.com/office/2006/metadata/properties" xmlns:ns2="9035f942-ef8f-4aa7-a461-36286bdd0ae4" xmlns:ns3="5fe3344c-db73-4839-a09d-de0eaf354d00" targetNamespace="http://schemas.microsoft.com/office/2006/metadata/properties" ma:root="true" ma:fieldsID="3d0b2554d53543ccb048d1f5a1787bd2" ns2:_="" ns3:_="">
    <xsd:import namespace="9035f942-ef8f-4aa7-a461-36286bdd0ae4"/>
    <xsd:import namespace="5fe3344c-db73-4839-a09d-de0eaf354d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5f942-ef8f-4aa7-a461-36286bdd0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b1c2b8da-d02f-4a89-89d1-fd1802af8f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e3344c-db73-4839-a09d-de0eaf354d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2e5728c-8cc8-48bc-94cb-a34b32f700fd}" ma:internalName="TaxCatchAll" ma:showField="CatchAllData" ma:web="5fe3344c-db73-4839-a09d-de0eaf354d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420FF-0011-4064-A0D6-94ADB80DE7CA}">
  <ds:schemaRefs>
    <ds:schemaRef ds:uri="http://purl.org/dc/elements/1.1/"/>
    <ds:schemaRef ds:uri="9035f942-ef8f-4aa7-a461-36286bdd0ae4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5fe3344c-db73-4839-a09d-de0eaf354d00"/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0FC561-9814-4CD7-9151-7DE3A44121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A86716-3F3F-405C-9480-A2DF6C0BA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5f942-ef8f-4aa7-a461-36286bdd0ae4"/>
    <ds:schemaRef ds:uri="5fe3344c-db73-4839-a09d-de0eaf354d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987BF9-245B-4CFE-9F42-090959566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Spicka</cp:lastModifiedBy>
  <cp:revision>2</cp:revision>
  <cp:lastPrinted>2026-07-20T06:34:00Z</cp:lastPrinted>
  <dcterms:created xsi:type="dcterms:W3CDTF">2026-09-25T07:53:00Z</dcterms:created>
  <dcterms:modified xsi:type="dcterms:W3CDTF">2026-09-25T07:53:00Z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0x01010047183BABD77E0F45BE89AB9F6E24E916</vt:lpwstr>
  </property>
</Properties>
</file>